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CB0" w:rsidRDefault="00C77CB0">
      <w:pPr>
        <w:pStyle w:val="afd"/>
        <w:widowControl w:val="0"/>
        <w:rPr>
          <w:rFonts w:ascii="Times New Roman" w:hAnsi="Times New Roman"/>
          <w:sz w:val="24"/>
          <w:szCs w:val="24"/>
        </w:rPr>
      </w:pPr>
    </w:p>
    <w:p w:rsidR="00C77CB0" w:rsidRDefault="00C77CB0">
      <w:pPr>
        <w:pStyle w:val="afd"/>
        <w:widowControl w:val="0"/>
        <w:rPr>
          <w:rFonts w:ascii="Times New Roman" w:hAnsi="Times New Roman"/>
          <w:sz w:val="24"/>
          <w:szCs w:val="24"/>
        </w:rPr>
      </w:pPr>
    </w:p>
    <w:p w:rsidR="00C77CB0" w:rsidRDefault="00D54E1C">
      <w:pPr>
        <w:pStyle w:val="afd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C77CB0" w:rsidRDefault="00C77CB0">
      <w:pPr>
        <w:pStyle w:val="afd"/>
        <w:widowContro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77CB0" w:rsidRDefault="00C77CB0">
      <w:pPr>
        <w:pStyle w:val="afd"/>
        <w:widowControl w:val="0"/>
        <w:rPr>
          <w:rFonts w:ascii="Times New Roman" w:hAnsi="Times New Roman"/>
          <w:sz w:val="24"/>
          <w:szCs w:val="24"/>
        </w:rPr>
      </w:pPr>
    </w:p>
    <w:p w:rsidR="00C77CB0" w:rsidRDefault="00C77CB0">
      <w:pPr>
        <w:pStyle w:val="aff"/>
        <w:spacing w:after="0"/>
        <w:ind w:left="0"/>
        <w:jc w:val="center"/>
        <w:rPr>
          <w:sz w:val="28"/>
          <w:szCs w:val="28"/>
        </w:rPr>
      </w:pP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Правила поведения вблизи энергетических объектов</w:t>
      </w:r>
    </w:p>
    <w:p w:rsidR="00C77CB0" w:rsidRDefault="00C77CB0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1. Охранные зоны устанавливаются: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а) вдоль воздушных линий электропередачи -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</w:t>
      </w:r>
      <w:r>
        <w:t>ороны линии электропередачи от крайних проводов при неотклоненном их положении на следующем расстоянии:</w:t>
      </w:r>
    </w:p>
    <w:p w:rsidR="00C77CB0" w:rsidRDefault="00D54E1C">
      <w:pPr>
        <w:pStyle w:val="empty"/>
        <w:widowControl w:val="0"/>
        <w:shd w:val="clear" w:color="auto" w:fill="FFFFFF"/>
        <w:spacing w:before="0" w:beforeAutospacing="0" w:after="0" w:afterAutospacing="0"/>
        <w:jc w:val="both"/>
      </w:pPr>
      <w: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5114"/>
      </w:tblGrid>
      <w:tr w:rsidR="00C77CB0">
        <w:tc>
          <w:tcPr>
            <w:tcW w:w="4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both"/>
            </w:pPr>
            <w:r>
              <w:t>Проектный номинальный класс напряжения, кВ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both"/>
            </w:pPr>
            <w:r>
              <w:t>Расстояние, м</w:t>
            </w:r>
          </w:p>
        </w:tc>
      </w:tr>
      <w:tr w:rsidR="00C77CB0">
        <w:tc>
          <w:tcPr>
            <w:tcW w:w="4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до 1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both"/>
            </w:pPr>
            <w:r>
              <w:t>2 (для линий с самонесущими или изолированными проводами, проложенных по стенам зданий, конструкциям и т.д., охранная зона определяется в соответствии с установленными нормативными правовыми актами минимальными допустимыми расстояниями от таких линий)</w:t>
            </w:r>
          </w:p>
        </w:tc>
      </w:tr>
      <w:tr w:rsidR="00C77CB0">
        <w:tc>
          <w:tcPr>
            <w:tcW w:w="4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1 -</w:t>
            </w:r>
            <w:r>
              <w:t xml:space="preserve"> 20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both"/>
            </w:pPr>
            <w:r>
              <w:t>10 (5 - для линий с самонесущими или изолированными проводами, размещенных в границах населенных пунктов)</w:t>
            </w:r>
          </w:p>
        </w:tc>
      </w:tr>
      <w:tr w:rsidR="00C77CB0">
        <w:tc>
          <w:tcPr>
            <w:tcW w:w="4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35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15</w:t>
            </w:r>
          </w:p>
        </w:tc>
      </w:tr>
      <w:tr w:rsidR="00C77CB0">
        <w:tc>
          <w:tcPr>
            <w:tcW w:w="4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110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20</w:t>
            </w:r>
          </w:p>
        </w:tc>
      </w:tr>
      <w:tr w:rsidR="00C77CB0">
        <w:tc>
          <w:tcPr>
            <w:tcW w:w="4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150, 220</w:t>
            </w:r>
          </w:p>
        </w:tc>
        <w:tc>
          <w:tcPr>
            <w:tcW w:w="5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77CB0" w:rsidRDefault="00D54E1C">
            <w:pPr>
              <w:pStyle w:val="s1"/>
              <w:widowControl w:val="0"/>
              <w:spacing w:before="0" w:beforeAutospacing="0" w:after="0" w:afterAutospacing="0"/>
              <w:ind w:right="75"/>
              <w:jc w:val="center"/>
            </w:pPr>
            <w:r>
              <w:t>25</w:t>
            </w:r>
          </w:p>
        </w:tc>
      </w:tr>
    </w:tbl>
    <w:p w:rsidR="00C77CB0" w:rsidRDefault="00C77CB0">
      <w:pPr>
        <w:pStyle w:val="s1"/>
        <w:widowControl w:val="0"/>
        <w:shd w:val="clear" w:color="auto" w:fill="FFFFFF"/>
        <w:spacing w:before="0" w:beforeAutospacing="0" w:after="0" w:afterAutospacing="0"/>
        <w:jc w:val="both"/>
      </w:pP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б) вдоль подземн</w:t>
      </w:r>
      <w:r>
        <w:t>ых кабельных линий электропередачи - в виде части поверхности участка земли, расположенного под ней участка недр (на глубину, соответствующую глубине прокладки кабельных линий электропередачи), ограниченной параллельными вертикальными плоскостями, отстоящи</w:t>
      </w:r>
      <w:r>
        <w:t>ми по обе стороны линии электропередачи от крайних кабелей на расстоянии 1 метра (при прохождении кабельных линий напряжением до 1 киловольта в городах под тротуарами - на 0,6 метра в сторону зданий и сооружений и на 1 метр в сторону проезжей части улицы);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в) вдоль переходов воздушных линий электропередачи через водоемы (реки, каналы, озера и др.) - в виде воздушного пространства над водной поверхностью водоемов (на высоту, соответствующую высоте опор воздушных линий электропередачи), ограниченного вертикал</w:t>
      </w:r>
      <w:r>
        <w:t>ьными плоскостями, отстоящими по обе стороны линии электропередачи от крайних проводов при неотклоненном их положении для судоходных водоемов на расстоянии 100 метров, для несудоходных водоемов - на расстоянии, предусмотренном для установления охранных зон</w:t>
      </w:r>
      <w:r>
        <w:t xml:space="preserve"> вдоль воздушных линий электропередачи;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г) вокруг подстанций - в виде части поверхности участка земли и воздушного пространства (на высоту, соответствующую высоте наивысшей точки подстанции), ограниченной вертикальными плоскостями, отстоящими от всех сторо</w:t>
      </w:r>
      <w:r>
        <w:t>н ограждения подстанции по периметру на расстоянии, указанном в </w:t>
      </w:r>
      <w:hyperlink r:id="rId8" w:anchor="block_11001" w:tooltip="https://base.garant.ru/12165555/41ce224bfab536ece287719b46c4d7af/#block_11001" w:history="1">
        <w:r>
          <w:rPr>
            <w:rStyle w:val="afa"/>
            <w:color w:val="auto"/>
          </w:rPr>
          <w:t xml:space="preserve">подпункте </w:t>
        </w:r>
        <w:r>
          <w:rPr>
            <w:rStyle w:val="afa"/>
            <w:color w:val="auto"/>
          </w:rPr>
          <w:t>"а"</w:t>
        </w:r>
      </w:hyperlink>
      <w:r>
        <w:t> настоящего документа, применительно к высшему классу напряжения подстанции.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2. В охранных зонах запрещается осуществлять любые действия, которые могут </w:t>
      </w:r>
      <w:r>
        <w:lastRenderedPageBreak/>
        <w:t xml:space="preserve">нарушить безопасную работу объектов электросетевого хозяйства, в том числе привести к их повреждению </w:t>
      </w:r>
      <w:r>
        <w:t>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набрасывать на провода и опоры воздушных линий эле</w:t>
      </w:r>
      <w:r>
        <w:t>ктропередачи посторонние предметы, а также подниматься на опоры воздушных линий электропередачи;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проводить работы, угрожающие повреждению объектов электросетевого хозяйства, размещать объекты и предметы, которые могут препятствовать доступу обслуживающег</w:t>
      </w:r>
      <w:r>
        <w:t>о персонала и техники к объектам электроэнергетики, без сохранения и (или) создания, в том числе в соответствии с требованиями нормативно-технических документов, необходимых для такого доступа проходов и подъездов в целях обеспечения эксплуатации оборудова</w:t>
      </w:r>
      <w:r>
        <w:t>ния, зданий и сооружений объектов электроэнергетики, проведения работ по ликвидации аварий и устранению их последствий на всем протяжении границы объекта электроэнергетики;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находиться в пределах огороженной территории и помещениях распределительных устро</w:t>
      </w:r>
      <w:r>
        <w:t>йств и подстанций, открывать двери и люки распределительных устройств и подстанций, производить переключения и подключения в электрических, разводить огонь в пределах охранных зон вводных и распределительных устройств, подстанций, воздушных линий электропе</w:t>
      </w:r>
      <w:r>
        <w:t>редачи, а также в охранных зонах кабельных линий электропередачи;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размещать свалки;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убирать, уничтожать, перемещать, засыпать и повреждать предупреждающие и информационные знаки (либо предупреждающие и информационные надписи, нанесенные на объекты элек</w:t>
      </w:r>
      <w:r>
        <w:t>троэнергетики);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производить переключения и подключения в электрических сетях.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складировать или размещать хранилища любых, в том числе горюче-смазочных, материалов;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размещать детские и спортивные площадки, стадионы, рынки, торговые точки, полевые стан</w:t>
      </w:r>
      <w:r>
        <w:t>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</w:t>
      </w:r>
    </w:p>
    <w:p w:rsidR="00C77CB0" w:rsidRDefault="00D54E1C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- и</w:t>
      </w:r>
      <w:r>
        <w:t>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электропередачи).</w:t>
      </w: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D54E1C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-428128</wp:posOffset>
                </wp:positionH>
                <wp:positionV relativeFrom="paragraph">
                  <wp:posOffset>-290720</wp:posOffset>
                </wp:positionV>
                <wp:extent cx="6607582" cy="9191708"/>
                <wp:effectExtent l="0" t="0" r="3175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26 05 15 ВЭ плакат травм стор 1.jpg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614123" cy="9200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-33.71pt;mso-position-horizontal:absolute;mso-position-vertical-relative:text;margin-top:-22.89pt;mso-position-vertical:absolute;width:520.28pt;height:723.76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D54E1C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-269102</wp:posOffset>
                </wp:positionH>
                <wp:positionV relativeFrom="paragraph">
                  <wp:posOffset>-187353</wp:posOffset>
                </wp:positionV>
                <wp:extent cx="6391922" cy="9159903"/>
                <wp:effectExtent l="0" t="0" r="889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26 05 15 ВЭ плакат травм стор 2.jpg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98749" cy="91696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9264;o:allowoverlap:true;o:allowincell:true;mso-position-horizontal-relative:text;margin-left:-21.19pt;mso-position-horizontal:absolute;mso-position-vertical-relative:text;margin-top:-14.75pt;mso-position-vertical:absolute;width:503.30pt;height:721.25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D54E1C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-44229</wp:posOffset>
                </wp:positionV>
                <wp:extent cx="6318636" cy="8619214"/>
                <wp:effectExtent l="0" t="0" r="6350" b="0"/>
                <wp:wrapNone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6 05 15 ВЭ плакат травм стор.jpg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23788" cy="8626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60288;o:allowoverlap:true;o:allowincell:true;mso-position-horizontal-relative:text;margin-left:-13.05pt;mso-position-horizontal:absolute;mso-position-vertical-relative:text;margin-top:-3.48pt;mso-position-vertical:absolute;width:497.53pt;height:678.68pt;mso-wrap-distance-left:9.00pt;mso-wrap-distance-top:0.00pt;mso-wrap-distance-right:9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7CB0" w:rsidRDefault="00C77CB0">
      <w:pPr>
        <w:pStyle w:val="af8"/>
        <w:tabs>
          <w:tab w:val="left" w:pos="0"/>
        </w:tabs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sectPr w:rsidR="00C77CB0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CB0" w:rsidRDefault="00D54E1C">
      <w:pPr>
        <w:spacing w:after="0" w:line="240" w:lineRule="auto"/>
      </w:pPr>
      <w:r>
        <w:separator/>
      </w:r>
    </w:p>
  </w:endnote>
  <w:endnote w:type="continuationSeparator" w:id="0">
    <w:p w:rsidR="00C77CB0" w:rsidRDefault="00D54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onsolas">
    <w:panose1 w:val="020B060902020403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CB0" w:rsidRDefault="00D54E1C">
      <w:pPr>
        <w:spacing w:after="0" w:line="240" w:lineRule="auto"/>
      </w:pPr>
      <w:r>
        <w:separator/>
      </w:r>
    </w:p>
  </w:footnote>
  <w:footnote w:type="continuationSeparator" w:id="0">
    <w:p w:rsidR="00C77CB0" w:rsidRDefault="00D54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4706"/>
    <w:multiLevelType w:val="hybridMultilevel"/>
    <w:tmpl w:val="DD325646"/>
    <w:lvl w:ilvl="0" w:tplc="38C8AC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21CC28A">
      <w:start w:val="1"/>
      <w:numFmt w:val="lowerLetter"/>
      <w:lvlText w:val="%2."/>
      <w:lvlJc w:val="left"/>
      <w:pPr>
        <w:ind w:left="1789" w:hanging="360"/>
      </w:pPr>
    </w:lvl>
    <w:lvl w:ilvl="2" w:tplc="D6D65076">
      <w:start w:val="1"/>
      <w:numFmt w:val="lowerRoman"/>
      <w:lvlText w:val="%3."/>
      <w:lvlJc w:val="right"/>
      <w:pPr>
        <w:ind w:left="2509" w:hanging="180"/>
      </w:pPr>
    </w:lvl>
    <w:lvl w:ilvl="3" w:tplc="5472FE42">
      <w:start w:val="1"/>
      <w:numFmt w:val="decimal"/>
      <w:lvlText w:val="%4."/>
      <w:lvlJc w:val="left"/>
      <w:pPr>
        <w:ind w:left="3229" w:hanging="360"/>
      </w:pPr>
    </w:lvl>
    <w:lvl w:ilvl="4" w:tplc="BA0627D6">
      <w:start w:val="1"/>
      <w:numFmt w:val="lowerLetter"/>
      <w:lvlText w:val="%5."/>
      <w:lvlJc w:val="left"/>
      <w:pPr>
        <w:ind w:left="3949" w:hanging="360"/>
      </w:pPr>
    </w:lvl>
    <w:lvl w:ilvl="5" w:tplc="859C1BE8">
      <w:start w:val="1"/>
      <w:numFmt w:val="lowerRoman"/>
      <w:lvlText w:val="%6."/>
      <w:lvlJc w:val="right"/>
      <w:pPr>
        <w:ind w:left="4669" w:hanging="180"/>
      </w:pPr>
    </w:lvl>
    <w:lvl w:ilvl="6" w:tplc="EDC40C7C">
      <w:start w:val="1"/>
      <w:numFmt w:val="decimal"/>
      <w:lvlText w:val="%7."/>
      <w:lvlJc w:val="left"/>
      <w:pPr>
        <w:ind w:left="5389" w:hanging="360"/>
      </w:pPr>
    </w:lvl>
    <w:lvl w:ilvl="7" w:tplc="335A4A4C">
      <w:start w:val="1"/>
      <w:numFmt w:val="lowerLetter"/>
      <w:lvlText w:val="%8."/>
      <w:lvlJc w:val="left"/>
      <w:pPr>
        <w:ind w:left="6109" w:hanging="360"/>
      </w:pPr>
    </w:lvl>
    <w:lvl w:ilvl="8" w:tplc="A110802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858B2"/>
    <w:multiLevelType w:val="hybridMultilevel"/>
    <w:tmpl w:val="EEF4C286"/>
    <w:lvl w:ilvl="0" w:tplc="2FD0AF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E4AA1FA">
      <w:start w:val="1"/>
      <w:numFmt w:val="lowerLetter"/>
      <w:lvlText w:val="%2."/>
      <w:lvlJc w:val="left"/>
      <w:pPr>
        <w:ind w:left="1789" w:hanging="360"/>
      </w:pPr>
    </w:lvl>
    <w:lvl w:ilvl="2" w:tplc="9FDC3A7E">
      <w:start w:val="1"/>
      <w:numFmt w:val="lowerRoman"/>
      <w:lvlText w:val="%3."/>
      <w:lvlJc w:val="right"/>
      <w:pPr>
        <w:ind w:left="2509" w:hanging="180"/>
      </w:pPr>
    </w:lvl>
    <w:lvl w:ilvl="3" w:tplc="69EABBAE">
      <w:start w:val="1"/>
      <w:numFmt w:val="decimal"/>
      <w:lvlText w:val="%4."/>
      <w:lvlJc w:val="left"/>
      <w:pPr>
        <w:ind w:left="3229" w:hanging="360"/>
      </w:pPr>
    </w:lvl>
    <w:lvl w:ilvl="4" w:tplc="8BDE6100">
      <w:start w:val="1"/>
      <w:numFmt w:val="lowerLetter"/>
      <w:lvlText w:val="%5."/>
      <w:lvlJc w:val="left"/>
      <w:pPr>
        <w:ind w:left="3949" w:hanging="360"/>
      </w:pPr>
    </w:lvl>
    <w:lvl w:ilvl="5" w:tplc="AE30F61A">
      <w:start w:val="1"/>
      <w:numFmt w:val="lowerRoman"/>
      <w:lvlText w:val="%6."/>
      <w:lvlJc w:val="right"/>
      <w:pPr>
        <w:ind w:left="4669" w:hanging="180"/>
      </w:pPr>
    </w:lvl>
    <w:lvl w:ilvl="6" w:tplc="F98037B2">
      <w:start w:val="1"/>
      <w:numFmt w:val="decimal"/>
      <w:lvlText w:val="%7."/>
      <w:lvlJc w:val="left"/>
      <w:pPr>
        <w:ind w:left="5389" w:hanging="360"/>
      </w:pPr>
    </w:lvl>
    <w:lvl w:ilvl="7" w:tplc="0F42BC0A">
      <w:start w:val="1"/>
      <w:numFmt w:val="lowerLetter"/>
      <w:lvlText w:val="%8."/>
      <w:lvlJc w:val="left"/>
      <w:pPr>
        <w:ind w:left="6109" w:hanging="360"/>
      </w:pPr>
    </w:lvl>
    <w:lvl w:ilvl="8" w:tplc="44F04294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DD21EB"/>
    <w:multiLevelType w:val="hybridMultilevel"/>
    <w:tmpl w:val="BF8CF9B2"/>
    <w:lvl w:ilvl="0" w:tplc="B2808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EF465FA">
      <w:start w:val="1"/>
      <w:numFmt w:val="lowerLetter"/>
      <w:lvlText w:val="%2."/>
      <w:lvlJc w:val="left"/>
      <w:pPr>
        <w:ind w:left="1789" w:hanging="360"/>
      </w:pPr>
    </w:lvl>
    <w:lvl w:ilvl="2" w:tplc="BC0A6F3C">
      <w:start w:val="1"/>
      <w:numFmt w:val="lowerRoman"/>
      <w:lvlText w:val="%3."/>
      <w:lvlJc w:val="right"/>
      <w:pPr>
        <w:ind w:left="2509" w:hanging="180"/>
      </w:pPr>
    </w:lvl>
    <w:lvl w:ilvl="3" w:tplc="C6E00210">
      <w:start w:val="1"/>
      <w:numFmt w:val="decimal"/>
      <w:lvlText w:val="%4."/>
      <w:lvlJc w:val="left"/>
      <w:pPr>
        <w:ind w:left="3229" w:hanging="360"/>
      </w:pPr>
    </w:lvl>
    <w:lvl w:ilvl="4" w:tplc="665C2EF4">
      <w:start w:val="1"/>
      <w:numFmt w:val="lowerLetter"/>
      <w:lvlText w:val="%5."/>
      <w:lvlJc w:val="left"/>
      <w:pPr>
        <w:ind w:left="3949" w:hanging="360"/>
      </w:pPr>
    </w:lvl>
    <w:lvl w:ilvl="5" w:tplc="C1102910">
      <w:start w:val="1"/>
      <w:numFmt w:val="lowerRoman"/>
      <w:lvlText w:val="%6."/>
      <w:lvlJc w:val="right"/>
      <w:pPr>
        <w:ind w:left="4669" w:hanging="180"/>
      </w:pPr>
    </w:lvl>
    <w:lvl w:ilvl="6" w:tplc="ACE6A812">
      <w:start w:val="1"/>
      <w:numFmt w:val="decimal"/>
      <w:lvlText w:val="%7."/>
      <w:lvlJc w:val="left"/>
      <w:pPr>
        <w:ind w:left="5389" w:hanging="360"/>
      </w:pPr>
    </w:lvl>
    <w:lvl w:ilvl="7" w:tplc="66D0B2BA">
      <w:start w:val="1"/>
      <w:numFmt w:val="lowerLetter"/>
      <w:lvlText w:val="%8."/>
      <w:lvlJc w:val="left"/>
      <w:pPr>
        <w:ind w:left="6109" w:hanging="360"/>
      </w:pPr>
    </w:lvl>
    <w:lvl w:ilvl="8" w:tplc="386C066C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A44BC9"/>
    <w:multiLevelType w:val="multilevel"/>
    <w:tmpl w:val="32C87D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8582D83"/>
    <w:multiLevelType w:val="hybridMultilevel"/>
    <w:tmpl w:val="48901AB6"/>
    <w:lvl w:ilvl="0" w:tplc="0EE4A294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8C0052E0">
      <w:start w:val="1"/>
      <w:numFmt w:val="lowerLetter"/>
      <w:lvlText w:val="%2."/>
      <w:lvlJc w:val="left"/>
      <w:pPr>
        <w:ind w:left="1789" w:hanging="360"/>
      </w:pPr>
    </w:lvl>
    <w:lvl w:ilvl="2" w:tplc="C9369FF4">
      <w:start w:val="1"/>
      <w:numFmt w:val="lowerRoman"/>
      <w:lvlText w:val="%3."/>
      <w:lvlJc w:val="right"/>
      <w:pPr>
        <w:ind w:left="2509" w:hanging="180"/>
      </w:pPr>
    </w:lvl>
    <w:lvl w:ilvl="3" w:tplc="06647328">
      <w:start w:val="1"/>
      <w:numFmt w:val="decimal"/>
      <w:lvlText w:val="%4."/>
      <w:lvlJc w:val="left"/>
      <w:pPr>
        <w:ind w:left="3229" w:hanging="360"/>
      </w:pPr>
    </w:lvl>
    <w:lvl w:ilvl="4" w:tplc="30489DBA">
      <w:start w:val="1"/>
      <w:numFmt w:val="lowerLetter"/>
      <w:lvlText w:val="%5."/>
      <w:lvlJc w:val="left"/>
      <w:pPr>
        <w:ind w:left="3949" w:hanging="360"/>
      </w:pPr>
    </w:lvl>
    <w:lvl w:ilvl="5" w:tplc="542C9490">
      <w:start w:val="1"/>
      <w:numFmt w:val="lowerRoman"/>
      <w:lvlText w:val="%6."/>
      <w:lvlJc w:val="right"/>
      <w:pPr>
        <w:ind w:left="4669" w:hanging="180"/>
      </w:pPr>
    </w:lvl>
    <w:lvl w:ilvl="6" w:tplc="D1A65844">
      <w:start w:val="1"/>
      <w:numFmt w:val="decimal"/>
      <w:lvlText w:val="%7."/>
      <w:lvlJc w:val="left"/>
      <w:pPr>
        <w:ind w:left="5389" w:hanging="360"/>
      </w:pPr>
    </w:lvl>
    <w:lvl w:ilvl="7" w:tplc="A4DAEA5A">
      <w:start w:val="1"/>
      <w:numFmt w:val="lowerLetter"/>
      <w:lvlText w:val="%8."/>
      <w:lvlJc w:val="left"/>
      <w:pPr>
        <w:ind w:left="6109" w:hanging="360"/>
      </w:pPr>
    </w:lvl>
    <w:lvl w:ilvl="8" w:tplc="2E0E1BF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112284"/>
    <w:multiLevelType w:val="hybridMultilevel"/>
    <w:tmpl w:val="9E546594"/>
    <w:lvl w:ilvl="0" w:tplc="6682E470">
      <w:start w:val="1"/>
      <w:numFmt w:val="decimal"/>
      <w:lvlText w:val="%1."/>
      <w:lvlJc w:val="left"/>
      <w:pPr>
        <w:ind w:left="435" w:hanging="360"/>
      </w:pPr>
      <w:rPr>
        <w:rFonts w:eastAsiaTheme="minorHAnsi" w:cstheme="minorBidi" w:hint="default"/>
      </w:rPr>
    </w:lvl>
    <w:lvl w:ilvl="1" w:tplc="4F9A1FC0">
      <w:start w:val="1"/>
      <w:numFmt w:val="lowerLetter"/>
      <w:lvlText w:val="%2."/>
      <w:lvlJc w:val="left"/>
      <w:pPr>
        <w:ind w:left="1155" w:hanging="360"/>
      </w:pPr>
    </w:lvl>
    <w:lvl w:ilvl="2" w:tplc="6B724FFC">
      <w:start w:val="1"/>
      <w:numFmt w:val="lowerRoman"/>
      <w:lvlText w:val="%3."/>
      <w:lvlJc w:val="right"/>
      <w:pPr>
        <w:ind w:left="1875" w:hanging="180"/>
      </w:pPr>
    </w:lvl>
    <w:lvl w:ilvl="3" w:tplc="05EC768E">
      <w:start w:val="1"/>
      <w:numFmt w:val="decimal"/>
      <w:lvlText w:val="%4."/>
      <w:lvlJc w:val="left"/>
      <w:pPr>
        <w:ind w:left="2595" w:hanging="360"/>
      </w:pPr>
    </w:lvl>
    <w:lvl w:ilvl="4" w:tplc="C660CC70">
      <w:start w:val="1"/>
      <w:numFmt w:val="lowerLetter"/>
      <w:lvlText w:val="%5."/>
      <w:lvlJc w:val="left"/>
      <w:pPr>
        <w:ind w:left="3315" w:hanging="360"/>
      </w:pPr>
    </w:lvl>
    <w:lvl w:ilvl="5" w:tplc="59EE81BE">
      <w:start w:val="1"/>
      <w:numFmt w:val="lowerRoman"/>
      <w:lvlText w:val="%6."/>
      <w:lvlJc w:val="right"/>
      <w:pPr>
        <w:ind w:left="4035" w:hanging="180"/>
      </w:pPr>
    </w:lvl>
    <w:lvl w:ilvl="6" w:tplc="E4B82826">
      <w:start w:val="1"/>
      <w:numFmt w:val="decimal"/>
      <w:lvlText w:val="%7."/>
      <w:lvlJc w:val="left"/>
      <w:pPr>
        <w:ind w:left="4755" w:hanging="360"/>
      </w:pPr>
    </w:lvl>
    <w:lvl w:ilvl="7" w:tplc="7ED4F088">
      <w:start w:val="1"/>
      <w:numFmt w:val="lowerLetter"/>
      <w:lvlText w:val="%8."/>
      <w:lvlJc w:val="left"/>
      <w:pPr>
        <w:ind w:left="5475" w:hanging="360"/>
      </w:pPr>
    </w:lvl>
    <w:lvl w:ilvl="8" w:tplc="58E49E1C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73027607"/>
    <w:multiLevelType w:val="hybridMultilevel"/>
    <w:tmpl w:val="8280F6C2"/>
    <w:lvl w:ilvl="0" w:tplc="2B42DF32">
      <w:start w:val="1"/>
      <w:numFmt w:val="decimal"/>
      <w:lvlText w:val="%1."/>
      <w:lvlJc w:val="left"/>
      <w:pPr>
        <w:ind w:left="1069" w:hanging="360"/>
      </w:pPr>
      <w:rPr>
        <w:rFonts w:eastAsiaTheme="minorHAnsi" w:cstheme="minorBidi" w:hint="default"/>
      </w:rPr>
    </w:lvl>
    <w:lvl w:ilvl="1" w:tplc="418AC410">
      <w:start w:val="1"/>
      <w:numFmt w:val="lowerLetter"/>
      <w:lvlText w:val="%2."/>
      <w:lvlJc w:val="left"/>
      <w:pPr>
        <w:ind w:left="1789" w:hanging="360"/>
      </w:pPr>
    </w:lvl>
    <w:lvl w:ilvl="2" w:tplc="10A87F44">
      <w:start w:val="1"/>
      <w:numFmt w:val="lowerRoman"/>
      <w:lvlText w:val="%3."/>
      <w:lvlJc w:val="right"/>
      <w:pPr>
        <w:ind w:left="2509" w:hanging="180"/>
      </w:pPr>
    </w:lvl>
    <w:lvl w:ilvl="3" w:tplc="E6028128">
      <w:start w:val="1"/>
      <w:numFmt w:val="decimal"/>
      <w:lvlText w:val="%4."/>
      <w:lvlJc w:val="left"/>
      <w:pPr>
        <w:ind w:left="3229" w:hanging="360"/>
      </w:pPr>
    </w:lvl>
    <w:lvl w:ilvl="4" w:tplc="729E7948">
      <w:start w:val="1"/>
      <w:numFmt w:val="lowerLetter"/>
      <w:lvlText w:val="%5."/>
      <w:lvlJc w:val="left"/>
      <w:pPr>
        <w:ind w:left="3949" w:hanging="360"/>
      </w:pPr>
    </w:lvl>
    <w:lvl w:ilvl="5" w:tplc="4B569788">
      <w:start w:val="1"/>
      <w:numFmt w:val="lowerRoman"/>
      <w:lvlText w:val="%6."/>
      <w:lvlJc w:val="right"/>
      <w:pPr>
        <w:ind w:left="4669" w:hanging="180"/>
      </w:pPr>
    </w:lvl>
    <w:lvl w:ilvl="6" w:tplc="B976903A">
      <w:start w:val="1"/>
      <w:numFmt w:val="decimal"/>
      <w:lvlText w:val="%7."/>
      <w:lvlJc w:val="left"/>
      <w:pPr>
        <w:ind w:left="5389" w:hanging="360"/>
      </w:pPr>
    </w:lvl>
    <w:lvl w:ilvl="7" w:tplc="810E60B6">
      <w:start w:val="1"/>
      <w:numFmt w:val="lowerLetter"/>
      <w:lvlText w:val="%8."/>
      <w:lvlJc w:val="left"/>
      <w:pPr>
        <w:ind w:left="6109" w:hanging="360"/>
      </w:pPr>
    </w:lvl>
    <w:lvl w:ilvl="8" w:tplc="A49A2A3A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7D0E67"/>
    <w:multiLevelType w:val="hybridMultilevel"/>
    <w:tmpl w:val="8056F3DA"/>
    <w:lvl w:ilvl="0" w:tplc="A4F0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39A8034">
      <w:start w:val="1"/>
      <w:numFmt w:val="lowerLetter"/>
      <w:lvlText w:val="%2."/>
      <w:lvlJc w:val="left"/>
      <w:pPr>
        <w:ind w:left="1789" w:hanging="360"/>
      </w:pPr>
    </w:lvl>
    <w:lvl w:ilvl="2" w:tplc="E990D312">
      <w:start w:val="1"/>
      <w:numFmt w:val="lowerRoman"/>
      <w:lvlText w:val="%3."/>
      <w:lvlJc w:val="right"/>
      <w:pPr>
        <w:ind w:left="2509" w:hanging="180"/>
      </w:pPr>
    </w:lvl>
    <w:lvl w:ilvl="3" w:tplc="E016428A">
      <w:start w:val="1"/>
      <w:numFmt w:val="decimal"/>
      <w:lvlText w:val="%4."/>
      <w:lvlJc w:val="left"/>
      <w:pPr>
        <w:ind w:left="3229" w:hanging="360"/>
      </w:pPr>
    </w:lvl>
    <w:lvl w:ilvl="4" w:tplc="0DC22870">
      <w:start w:val="1"/>
      <w:numFmt w:val="lowerLetter"/>
      <w:lvlText w:val="%5."/>
      <w:lvlJc w:val="left"/>
      <w:pPr>
        <w:ind w:left="3949" w:hanging="360"/>
      </w:pPr>
    </w:lvl>
    <w:lvl w:ilvl="5" w:tplc="D43449B4">
      <w:start w:val="1"/>
      <w:numFmt w:val="lowerRoman"/>
      <w:lvlText w:val="%6."/>
      <w:lvlJc w:val="right"/>
      <w:pPr>
        <w:ind w:left="4669" w:hanging="180"/>
      </w:pPr>
    </w:lvl>
    <w:lvl w:ilvl="6" w:tplc="D570DBE6">
      <w:start w:val="1"/>
      <w:numFmt w:val="decimal"/>
      <w:lvlText w:val="%7."/>
      <w:lvlJc w:val="left"/>
      <w:pPr>
        <w:ind w:left="5389" w:hanging="360"/>
      </w:pPr>
    </w:lvl>
    <w:lvl w:ilvl="7" w:tplc="A0486052">
      <w:start w:val="1"/>
      <w:numFmt w:val="lowerLetter"/>
      <w:lvlText w:val="%8."/>
      <w:lvlJc w:val="left"/>
      <w:pPr>
        <w:ind w:left="6109" w:hanging="360"/>
      </w:pPr>
    </w:lvl>
    <w:lvl w:ilvl="8" w:tplc="AEE2911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B0"/>
    <w:rsid w:val="00C77CB0"/>
    <w:rsid w:val="00D5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30377E-34DD-44FB-BF5B-82866B9E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b">
    <w:name w:val="No Spacing"/>
    <w:uiPriority w:val="1"/>
    <w:qFormat/>
    <w:pPr>
      <w:spacing w:after="0" w:line="240" w:lineRule="auto"/>
    </w:p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Plain Text"/>
    <w:basedOn w:val="a"/>
    <w:link w:val="afe"/>
    <w:unhideWhenUsed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e">
    <w:name w:val="Текст Знак"/>
    <w:basedOn w:val="a0"/>
    <w:link w:val="afd"/>
    <w:rPr>
      <w:rFonts w:ascii="Consolas" w:hAnsi="Consolas" w:cs="Consolas"/>
      <w:sz w:val="21"/>
      <w:szCs w:val="21"/>
    </w:rPr>
  </w:style>
  <w:style w:type="character" w:customStyle="1" w:styleId="CharStyle11">
    <w:name w:val="Char Style 11"/>
    <w:rPr>
      <w:rFonts w:ascii="Times New Roman" w:eastAsia="Times New Roman" w:hAnsi="Times New Roman" w:cs="Times New Roman"/>
      <w:color w:val="222524"/>
      <w:spacing w:val="0"/>
      <w:position w:val="0"/>
      <w:sz w:val="26"/>
      <w:szCs w:val="26"/>
      <w:u w:val="none"/>
      <w:lang w:val="ru"/>
    </w:rPr>
  </w:style>
  <w:style w:type="paragraph" w:styleId="aff">
    <w:name w:val="Body Text Indent"/>
    <w:basedOn w:val="a"/>
    <w:link w:val="aff0"/>
    <w:uiPriority w:val="99"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0">
    <w:name w:val="Основной текст с отступом Знак"/>
    <w:basedOn w:val="a0"/>
    <w:link w:val="aff"/>
    <w:uiPriority w:val="99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al-code">
    <w:name w:val="postal-code"/>
    <w:basedOn w:val="a0"/>
  </w:style>
  <w:style w:type="character" w:customStyle="1" w:styleId="locality">
    <w:name w:val="locality"/>
    <w:basedOn w:val="a0"/>
  </w:style>
  <w:style w:type="character" w:customStyle="1" w:styleId="street-address">
    <w:name w:val="street-address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65555/41ce224bfab536ece287719b46c4d7af/" TargetMode="External"/><Relationship Id="rId13" Type="http://schemas.openxmlformats.org/officeDocument/2006/relationships/image" Target="media/image20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15" Type="http://schemas.openxmlformats.org/officeDocument/2006/relationships/image" Target="media/image30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32CD3-ABBF-4B60-8DC8-712C21B4C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Ткачев Денис Владимирович</dc:creator>
  <cp:lastModifiedBy>Admin</cp:lastModifiedBy>
  <cp:revision>2</cp:revision>
  <dcterms:created xsi:type="dcterms:W3CDTF">2026-06-29T04:32:00Z</dcterms:created>
  <dcterms:modified xsi:type="dcterms:W3CDTF">2026-06-29T04:32:00Z</dcterms:modified>
</cp:coreProperties>
</file>